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Charte Qualité - FILHABILEC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0"/>
          <w:rtl w:val="0"/>
        </w:rPr>
        <w:t xml:space="preserve">FILHABILEC est un organisme de formation spécialisé dans la prévention des risques électriques, les habilitations électriques (NF C 18-510). Implanté à Strasbourg sous le statut de micro-entreprise, notre organisme forme des professionnels, des techniciens du bâtiment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0"/>
          <w:rtl w:val="0"/>
        </w:rPr>
        <w:t xml:space="preserve"> de la maintenance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b w:val="0"/>
          <w:rtl w:val="0"/>
        </w:rPr>
        <w:t xml:space="preserve"> Cette charte qualité formalise notre engagement à répondre aux exigences du référentiel Qualiopi.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color w:val="00467f"/>
          <w:u w:val="single"/>
          <w:rtl w:val="0"/>
        </w:rPr>
        <w:t xml:space="preserve">Engagement du dirigeant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0"/>
          <w:rtl w:val="0"/>
        </w:rPr>
        <w:t xml:space="preserve">En tant que fondateur de FILHABILEC, je m'engage personnellement à mettre en œuvre une démarche qualité rigoureuse, centrée sur l'amélioration continue, la satisfaction des bénéficiaires, et la conformité aux exigences du référentiel national Qualiopi. Nous nous attachons à délivrer des formations accessibles, innovantes et en parfaite adéquation avec les besoins des professionnels.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color w:val="00467f"/>
          <w:u w:val="single"/>
          <w:rtl w:val="0"/>
        </w:rPr>
        <w:t xml:space="preserve">Objectifs qualité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0"/>
          <w:rtl w:val="0"/>
        </w:rPr>
        <w:t xml:space="preserve">- Garantir la conformité réglementaire des contenus pédagogiques (NF C 18-510, Code du travail)</w:t>
        <w:br w:type="textWrapping"/>
        <w:t xml:space="preserve">- Assurer un accompagnement individualisé des stagiaires</w:t>
        <w:br w:type="textWrapping"/>
        <w:t xml:space="preserve">- Mesurer la satisfaction et les acquis via des évaluations et QCM interactifs</w:t>
        <w:br w:type="textWrapping"/>
        <w:t xml:space="preserve">- Mettre à disposition des supports modernes : livret stagiaire numérique, plateforme Notion</w:t>
        <w:br w:type="textWrapping"/>
        <w:t xml:space="preserve">- Analyser les réclamations et mettre en œuvre des actions correctives</w:t>
        <w:br w:type="textWrapping"/>
        <w:t xml:space="preserve">- Maintenir la compétence des formateurs et partenaires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color w:val="00467f"/>
          <w:u w:val="single"/>
          <w:rtl w:val="0"/>
        </w:rPr>
        <w:t xml:space="preserve">Moyens mis en œuvre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0"/>
          <w:rtl w:val="0"/>
        </w:rPr>
        <w:t xml:space="preserve">- Utilisation de supports interactifs et personnalisés</w:t>
        <w:br w:type="textWrapping"/>
        <w:t xml:space="preserve">- Organisation des parcours pédagogiques dans Notion (gestion administrative, évaluations, suivi qualité)</w:t>
        <w:br w:type="textWrapping"/>
        <w:t xml:space="preserve">- Mobilisation de formateurs experts habilités et référencés</w:t>
        <w:br w:type="textWrapping"/>
        <w:t xml:space="preserve">- Traçabilité des actions d’amélioration (plan d’action qualité annuel)</w:t>
        <w:br w:type="textWrapping"/>
        <w:t xml:space="preserve">- Communication transparente avec les parties prenantes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color w:val="00467f"/>
          <w:u w:val="single"/>
          <w:rtl w:val="0"/>
        </w:rPr>
        <w:t xml:space="preserve">Engagements transversaux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0"/>
          <w:rtl w:val="0"/>
        </w:rPr>
        <w:t xml:space="preserve">FILHABILEC s’engage à respecter les principes d’égalité d’accès à la formation, de sécurité, de confidentialité et de bienveillance pédagogique. Notre approche repose sur l’innovation ( QCM interactifs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b w:val="0"/>
          <w:rtl w:val="0"/>
        </w:rPr>
        <w:t xml:space="preserve">), l’écoute des besoins du terrain, et la conformité aux référentiels métiers.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color w:val="00467f"/>
          <w:u w:val="single"/>
          <w:rtl w:val="0"/>
        </w:rPr>
        <w:t xml:space="preserve">Suivi qualité et amélioration 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0"/>
          <w:rtl w:val="0"/>
        </w:rPr>
        <w:t xml:space="preserve">- Enquêtes de satisfaction systématiques à chaud et à froid</w:t>
        <w:br w:type="textWrapping"/>
        <w:t xml:space="preserve">- Suivi des réclamations et propositions d’amélioration</w:t>
        <w:br w:type="textWrapping"/>
        <w:t xml:space="preserve">- Mise à jour annuelle de cette charte et des processus qualité</w:t>
        <w:br w:type="textWrapping"/>
        <w:t xml:space="preserve">- Intégration des retours terrain dans l’amélioration des contenus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color w:val="00467f"/>
          <w:u w:val="single"/>
          <w:rtl w:val="0"/>
        </w:rPr>
        <w:t xml:space="preserve">Signature du dirigeant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0"/>
          <w:rtl w:val="0"/>
        </w:rPr>
        <w:t xml:space="preserve">Nom : [</w:t>
      </w:r>
      <w:r w:rsidDel="00000000" w:rsidR="00000000" w:rsidRPr="00000000">
        <w:rPr>
          <w:rtl w:val="0"/>
        </w:rPr>
        <w:t xml:space="preserve">FILALI ABDELKARIM</w:t>
      </w:r>
      <w:r w:rsidDel="00000000" w:rsidR="00000000" w:rsidRPr="00000000">
        <w:rPr>
          <w:b w:val="0"/>
          <w:rtl w:val="0"/>
        </w:rPr>
        <w:t xml:space="preserve">]</w:t>
        <w:br w:type="textWrapping"/>
        <w:t xml:space="preserve">Fondateur de FILHABILEC</w:t>
        <w:br w:type="textWrapping"/>
        <w:t xml:space="preserve">Date : </w:t>
      </w:r>
      <w:r w:rsidDel="00000000" w:rsidR="00000000" w:rsidRPr="00000000">
        <w:rPr>
          <w:rtl w:val="0"/>
        </w:rPr>
        <w:t xml:space="preserve">01/06/2025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590800" cy="2171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99100" y="1203050"/>
                          <a:ext cx="2590800" cy="2171700"/>
                          <a:chOff x="1799100" y="1203050"/>
                          <a:chExt cx="2578125" cy="21582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803631" y="1206616"/>
                            <a:ext cx="2571425" cy="2153350"/>
                          </a:xfrm>
                          <a:custGeom>
                            <a:rect b="b" l="l" r="r" t="t"/>
                            <a:pathLst>
                              <a:path extrusionOk="0" h="86134" w="102857">
                                <a:moveTo>
                                  <a:pt x="536" y="86134"/>
                                </a:moveTo>
                                <a:cubicBezTo>
                                  <a:pt x="-2262" y="76342"/>
                                  <a:pt x="6727" y="66352"/>
                                  <a:pt x="12717" y="58117"/>
                                </a:cubicBezTo>
                                <a:cubicBezTo>
                                  <a:pt x="23262" y="43619"/>
                                  <a:pt x="37998" y="32331"/>
                                  <a:pt x="52915" y="22386"/>
                                </a:cubicBezTo>
                                <a:cubicBezTo>
                                  <a:pt x="65407" y="14058"/>
                                  <a:pt x="79533" y="8354"/>
                                  <a:pt x="93519" y="2896"/>
                                </a:cubicBezTo>
                                <a:cubicBezTo>
                                  <a:pt x="96516" y="1726"/>
                                  <a:pt x="99980" y="-979"/>
                                  <a:pt x="102858" y="46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92825" y="1544507"/>
                            <a:ext cx="1596500" cy="1733075"/>
                          </a:xfrm>
                          <a:custGeom>
                            <a:rect b="b" l="l" r="r" t="t"/>
                            <a:pathLst>
                              <a:path extrusionOk="0" h="69323" w="63860">
                                <a:moveTo>
                                  <a:pt x="2142" y="38918"/>
                                </a:moveTo>
                                <a:cubicBezTo>
                                  <a:pt x="-1143" y="48117"/>
                                  <a:pt x="-519" y="59585"/>
                                  <a:pt x="4173" y="68153"/>
                                </a:cubicBezTo>
                                <a:cubicBezTo>
                                  <a:pt x="6183" y="71824"/>
                                  <a:pt x="8752" y="65783"/>
                                  <a:pt x="9451" y="61656"/>
                                </a:cubicBezTo>
                                <a:cubicBezTo>
                                  <a:pt x="13122" y="39979"/>
                                  <a:pt x="11395" y="39751"/>
                                  <a:pt x="12699" y="17804"/>
                                </a:cubicBezTo>
                                <a:cubicBezTo>
                                  <a:pt x="12787" y="16329"/>
                                  <a:pt x="11992" y="19172"/>
                                  <a:pt x="11887" y="20646"/>
                                </a:cubicBezTo>
                                <a:cubicBezTo>
                                  <a:pt x="11712" y="23091"/>
                                  <a:pt x="12442" y="25517"/>
                                  <a:pt x="12699" y="27955"/>
                                </a:cubicBezTo>
                                <a:cubicBezTo>
                                  <a:pt x="13463" y="35215"/>
                                  <a:pt x="13384" y="43003"/>
                                  <a:pt x="16760" y="49475"/>
                                </a:cubicBezTo>
                                <a:cubicBezTo>
                                  <a:pt x="17460" y="50816"/>
                                  <a:pt x="20257" y="51449"/>
                                  <a:pt x="21226" y="50287"/>
                                </a:cubicBezTo>
                                <a:cubicBezTo>
                                  <a:pt x="23012" y="48143"/>
                                  <a:pt x="23256" y="44956"/>
                                  <a:pt x="23256" y="42166"/>
                                </a:cubicBezTo>
                                <a:cubicBezTo>
                                  <a:pt x="23256" y="40941"/>
                                  <a:pt x="23305" y="37374"/>
                                  <a:pt x="22850" y="38512"/>
                                </a:cubicBezTo>
                                <a:cubicBezTo>
                                  <a:pt x="20848" y="43517"/>
                                  <a:pt x="27497" y="57155"/>
                                  <a:pt x="30565" y="52723"/>
                                </a:cubicBezTo>
                                <a:cubicBezTo>
                                  <a:pt x="32621" y="49754"/>
                                  <a:pt x="32688" y="45764"/>
                                  <a:pt x="33001" y="42166"/>
                                </a:cubicBezTo>
                                <a:cubicBezTo>
                                  <a:pt x="33395" y="37638"/>
                                  <a:pt x="32922" y="36900"/>
                                  <a:pt x="33001" y="37294"/>
                                </a:cubicBezTo>
                                <a:cubicBezTo>
                                  <a:pt x="33465" y="39612"/>
                                  <a:pt x="34206" y="45494"/>
                                  <a:pt x="35844" y="43790"/>
                                </a:cubicBezTo>
                                <a:cubicBezTo>
                                  <a:pt x="44136" y="35166"/>
                                  <a:pt x="48614" y="22442"/>
                                  <a:pt x="49243" y="10495"/>
                                </a:cubicBezTo>
                                <a:cubicBezTo>
                                  <a:pt x="49426" y="7020"/>
                                  <a:pt x="49524" y="2518"/>
                                  <a:pt x="46807" y="344"/>
                                </a:cubicBezTo>
                                <a:cubicBezTo>
                                  <a:pt x="44295" y="-1666"/>
                                  <a:pt x="44043" y="6482"/>
                                  <a:pt x="44370" y="9683"/>
                                </a:cubicBezTo>
                                <a:cubicBezTo>
                                  <a:pt x="45327" y="19060"/>
                                  <a:pt x="43385" y="33261"/>
                                  <a:pt x="52085" y="36887"/>
                                </a:cubicBezTo>
                                <a:cubicBezTo>
                                  <a:pt x="60205" y="40271"/>
                                  <a:pt x="59826" y="20016"/>
                                  <a:pt x="58582" y="11307"/>
                                </a:cubicBezTo>
                                <a:cubicBezTo>
                                  <a:pt x="58327" y="9519"/>
                                  <a:pt x="59317" y="14846"/>
                                  <a:pt x="59800" y="16586"/>
                                </a:cubicBezTo>
                                <a:cubicBezTo>
                                  <a:pt x="60708" y="19856"/>
                                  <a:pt x="62212" y="22957"/>
                                  <a:pt x="63860" y="25924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826925" y="1360225"/>
                            <a:ext cx="30450" cy="20300"/>
                          </a:xfrm>
                          <a:custGeom>
                            <a:rect b="b" l="l" r="r" t="t"/>
                            <a:pathLst>
                              <a:path extrusionOk="0" h="812" w="1218">
                                <a:moveTo>
                                  <a:pt x="1218" y="0"/>
                                </a:moveTo>
                                <a:cubicBezTo>
                                  <a:pt x="609" y="406"/>
                                  <a:pt x="609" y="406"/>
                                  <a:pt x="0" y="81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590800" cy="21717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w:drawing>
          <wp:inline distB="114300" distT="114300" distL="114300" distR="114300">
            <wp:extent cx="1776413" cy="17764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776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FILHABILEC – Charte Qualité – Document conforme au Référentiel National Qualiopi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